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4B11C" w14:textId="3E9B0957" w:rsidR="00C3362F" w:rsidRPr="00FB724F" w:rsidRDefault="00C3362F" w:rsidP="00FB724F">
      <w:pPr>
        <w:pStyle w:val="Heading1"/>
        <w:spacing w:line="360" w:lineRule="auto"/>
        <w:rPr>
          <w:rFonts w:ascii="Arial" w:hAnsi="Arial" w:cs="Arial"/>
          <w:sz w:val="36"/>
          <w:szCs w:val="36"/>
        </w:rPr>
      </w:pPr>
      <w:bookmarkStart w:id="0" w:name="_Hlk70292180"/>
      <w:bookmarkEnd w:id="0"/>
      <w:r w:rsidRPr="003F04D4">
        <w:rPr>
          <w:rFonts w:ascii="Arial" w:hAnsi="Arial" w:cs="Arial"/>
          <w:sz w:val="36"/>
          <w:szCs w:val="36"/>
        </w:rPr>
        <w:t xml:space="preserve">Appendix </w:t>
      </w:r>
      <w:r w:rsidR="00730303" w:rsidRPr="003F04D4">
        <w:rPr>
          <w:rFonts w:ascii="Arial" w:hAnsi="Arial" w:cs="Arial"/>
          <w:sz w:val="36"/>
          <w:szCs w:val="36"/>
        </w:rPr>
        <w:t>3</w:t>
      </w:r>
      <w:r w:rsidR="00113EB7" w:rsidRPr="003F04D4">
        <w:rPr>
          <w:rFonts w:ascii="Arial" w:hAnsi="Arial" w:cs="Arial"/>
          <w:sz w:val="36"/>
          <w:szCs w:val="36"/>
        </w:rPr>
        <w:t>c</w:t>
      </w:r>
      <w:r w:rsidRPr="003F04D4">
        <w:rPr>
          <w:rFonts w:ascii="Arial" w:hAnsi="Arial" w:cs="Arial"/>
          <w:sz w:val="36"/>
          <w:szCs w:val="36"/>
        </w:rPr>
        <w:t xml:space="preserve">: </w:t>
      </w:r>
      <w:r w:rsidR="00113EB7" w:rsidRPr="003F04D4">
        <w:rPr>
          <w:rFonts w:ascii="Arial" w:hAnsi="Arial" w:cs="Arial"/>
          <w:sz w:val="36"/>
          <w:szCs w:val="36"/>
        </w:rPr>
        <w:t>ARG Databases, Categories and Names of ARGs</w:t>
      </w:r>
    </w:p>
    <w:p w14:paraId="31959063" w14:textId="77777777" w:rsidR="00113EB7" w:rsidRPr="003F04D4" w:rsidRDefault="00113EB7" w:rsidP="00413443">
      <w:pPr>
        <w:pStyle w:val="Heading2"/>
        <w:spacing w:line="360" w:lineRule="auto"/>
      </w:pPr>
      <w:r w:rsidRPr="003F04D4">
        <w:t>CARD</w:t>
      </w:r>
    </w:p>
    <w:p w14:paraId="56D05797" w14:textId="2049F34C" w:rsidR="00113EB7" w:rsidRPr="003F04D4" w:rsidRDefault="00113EB7" w:rsidP="00413443">
      <w:pPr>
        <w:spacing w:line="360" w:lineRule="auto"/>
        <w:rPr>
          <w:rFonts w:ascii="Arial" w:hAnsi="Arial" w:cs="Arial"/>
          <w:sz w:val="24"/>
          <w:szCs w:val="24"/>
        </w:rPr>
      </w:pPr>
      <w:r w:rsidRPr="003F04D4">
        <w:rPr>
          <w:rFonts w:ascii="Arial" w:hAnsi="Arial" w:cs="Arial"/>
          <w:sz w:val="24"/>
          <w:szCs w:val="24"/>
        </w:rPr>
        <w:t xml:space="preserve">CARD consists of a standard reference database (2,631 DNA sequences obtained from high-confidence sources, </w:t>
      </w:r>
      <w:proofErr w:type="gramStart"/>
      <w:r w:rsidRPr="003F04D4">
        <w:rPr>
          <w:rFonts w:ascii="Arial" w:hAnsi="Arial" w:cs="Arial"/>
          <w:sz w:val="24"/>
          <w:szCs w:val="24"/>
        </w:rPr>
        <w:t>e.g.</w:t>
      </w:r>
      <w:proofErr w:type="gramEnd"/>
      <w:r w:rsidRPr="003F04D4">
        <w:rPr>
          <w:rFonts w:ascii="Arial" w:hAnsi="Arial" w:cs="Arial"/>
          <w:sz w:val="24"/>
          <w:szCs w:val="24"/>
        </w:rPr>
        <w:t xml:space="preserve"> sequenced genomes) and a database of variant DNA sequences (149,075), essentially instances of the reference sequences observed "in the wild" (the </w:t>
      </w:r>
      <w:proofErr w:type="spellStart"/>
      <w:r w:rsidRPr="003F04D4">
        <w:rPr>
          <w:rFonts w:ascii="Arial" w:hAnsi="Arial" w:cs="Arial"/>
          <w:sz w:val="24"/>
          <w:szCs w:val="24"/>
        </w:rPr>
        <w:t>WildCARD</w:t>
      </w:r>
      <w:proofErr w:type="spellEnd"/>
      <w:r w:rsidRPr="003F04D4">
        <w:rPr>
          <w:rFonts w:ascii="Arial" w:hAnsi="Arial" w:cs="Arial"/>
          <w:sz w:val="24"/>
          <w:szCs w:val="24"/>
        </w:rPr>
        <w:t>). We obtained licensing for use of these resources from McMaster University, and downloaded the databases (release labelled 20</w:t>
      </w:r>
      <w:r w:rsidRPr="003F04D4">
        <w:rPr>
          <w:rFonts w:ascii="Arial" w:hAnsi="Arial" w:cs="Arial"/>
          <w:sz w:val="24"/>
          <w:szCs w:val="24"/>
          <w:vertAlign w:val="superscript"/>
        </w:rPr>
        <w:t>th</w:t>
      </w:r>
      <w:r w:rsidRPr="003F04D4">
        <w:rPr>
          <w:rFonts w:ascii="Arial" w:hAnsi="Arial" w:cs="Arial"/>
          <w:sz w:val="24"/>
          <w:szCs w:val="24"/>
        </w:rPr>
        <w:t xml:space="preserve"> March 2020) and RGI software (version 5.1.0) on 18</w:t>
      </w:r>
      <w:r w:rsidRPr="003F04D4">
        <w:rPr>
          <w:rFonts w:ascii="Arial" w:hAnsi="Arial" w:cs="Arial"/>
          <w:sz w:val="24"/>
          <w:szCs w:val="24"/>
          <w:vertAlign w:val="superscript"/>
        </w:rPr>
        <w:t>th</w:t>
      </w:r>
      <w:r w:rsidRPr="003F04D4">
        <w:rPr>
          <w:rFonts w:ascii="Arial" w:hAnsi="Arial" w:cs="Arial"/>
          <w:sz w:val="24"/>
          <w:szCs w:val="24"/>
        </w:rPr>
        <w:t xml:space="preserve"> May 2020.</w:t>
      </w:r>
    </w:p>
    <w:p w14:paraId="11BD1420" w14:textId="77777777" w:rsidR="00113EB7" w:rsidRPr="003F04D4" w:rsidRDefault="00113EB7" w:rsidP="00413443">
      <w:pPr>
        <w:pStyle w:val="Heading2"/>
        <w:spacing w:line="360" w:lineRule="auto"/>
      </w:pPr>
      <w:r w:rsidRPr="003F04D4">
        <w:t xml:space="preserve">The </w:t>
      </w:r>
      <w:proofErr w:type="spellStart"/>
      <w:r w:rsidRPr="003F04D4">
        <w:t>DeepARG</w:t>
      </w:r>
      <w:proofErr w:type="spellEnd"/>
      <w:r w:rsidRPr="003F04D4">
        <w:t xml:space="preserve"> database</w:t>
      </w:r>
    </w:p>
    <w:p w14:paraId="7A564FED" w14:textId="500768FD" w:rsidR="00113EB7" w:rsidRPr="003F04D4" w:rsidRDefault="00113EB7" w:rsidP="00413443">
      <w:pPr>
        <w:spacing w:line="360" w:lineRule="auto"/>
        <w:rPr>
          <w:rFonts w:ascii="Arial" w:hAnsi="Arial" w:cs="Arial"/>
          <w:sz w:val="24"/>
          <w:szCs w:val="24"/>
        </w:rPr>
      </w:pPr>
      <w:proofErr w:type="spellStart"/>
      <w:r w:rsidRPr="003F04D4">
        <w:rPr>
          <w:rFonts w:ascii="Arial" w:hAnsi="Arial" w:cs="Arial"/>
          <w:sz w:val="24"/>
          <w:szCs w:val="24"/>
        </w:rPr>
        <w:t>DeepARG</w:t>
      </w:r>
      <w:proofErr w:type="spellEnd"/>
      <w:r w:rsidRPr="003F04D4">
        <w:rPr>
          <w:rFonts w:ascii="Arial" w:hAnsi="Arial" w:cs="Arial"/>
          <w:sz w:val="24"/>
          <w:szCs w:val="24"/>
        </w:rPr>
        <w:t xml:space="preserve"> provides no version number, but we used the edition dated Feb 2020. Its database of 12,279 protein sequences is designated by the authors as Version 2.</w:t>
      </w:r>
    </w:p>
    <w:p w14:paraId="5C4523D1" w14:textId="77777777" w:rsidR="00113EB7" w:rsidRPr="003F04D4" w:rsidRDefault="00113EB7" w:rsidP="00413443">
      <w:pPr>
        <w:pStyle w:val="Heading2"/>
        <w:spacing w:line="360" w:lineRule="auto"/>
      </w:pPr>
      <w:r w:rsidRPr="003F04D4">
        <w:t>Database Comparison</w:t>
      </w:r>
    </w:p>
    <w:p w14:paraId="25F325A2" w14:textId="475380D9" w:rsidR="00113EB7" w:rsidRPr="003F04D4" w:rsidRDefault="00113EB7" w:rsidP="00413443">
      <w:pPr>
        <w:spacing w:line="360" w:lineRule="auto"/>
        <w:rPr>
          <w:rFonts w:ascii="Arial" w:hAnsi="Arial" w:cs="Arial"/>
          <w:sz w:val="24"/>
          <w:szCs w:val="24"/>
        </w:rPr>
      </w:pPr>
      <w:r w:rsidRPr="003F04D4">
        <w:rPr>
          <w:rFonts w:ascii="Arial" w:hAnsi="Arial" w:cs="Arial"/>
          <w:sz w:val="24"/>
          <w:szCs w:val="24"/>
        </w:rPr>
        <w:t>Prior to performing the analysis, we performed a comparison of the sequence content of the databases to provide perspective on the results.</w:t>
      </w:r>
    </w:p>
    <w:p w14:paraId="7BF76D46" w14:textId="77777777" w:rsidR="00113EB7" w:rsidRPr="003F04D4" w:rsidRDefault="00113EB7" w:rsidP="00413443">
      <w:pPr>
        <w:pStyle w:val="Heading3"/>
        <w:spacing w:line="360" w:lineRule="auto"/>
      </w:pPr>
      <w:bookmarkStart w:id="1" w:name="_Ref71552237"/>
      <w:r w:rsidRPr="003F04D4">
        <w:t>Categories of ARGs</w:t>
      </w:r>
      <w:bookmarkEnd w:id="1"/>
    </w:p>
    <w:p w14:paraId="5E2803D3" w14:textId="77777777" w:rsidR="00113EB7" w:rsidRPr="003F04D4" w:rsidRDefault="00113EB7" w:rsidP="00413443">
      <w:pPr>
        <w:spacing w:line="360" w:lineRule="auto"/>
        <w:rPr>
          <w:rFonts w:ascii="Arial" w:hAnsi="Arial" w:cs="Arial"/>
          <w:sz w:val="24"/>
          <w:szCs w:val="24"/>
        </w:rPr>
      </w:pPr>
      <w:r w:rsidRPr="003F04D4">
        <w:rPr>
          <w:rFonts w:ascii="Arial" w:hAnsi="Arial" w:cs="Arial"/>
          <w:sz w:val="24"/>
          <w:szCs w:val="24"/>
        </w:rPr>
        <w:t xml:space="preserve">Because the number of different ARGs is large, it is useful to report not just frequencies of each ARG but also categories. The CARD database makes extensive use of the Antibiotic Resistance Ontology (ARO) developed alongside </w:t>
      </w:r>
      <w:proofErr w:type="gramStart"/>
      <w:r w:rsidRPr="003F04D4">
        <w:rPr>
          <w:rFonts w:ascii="Arial" w:hAnsi="Arial" w:cs="Arial"/>
          <w:sz w:val="24"/>
          <w:szCs w:val="24"/>
        </w:rPr>
        <w:t>it, and</w:t>
      </w:r>
      <w:proofErr w:type="gramEnd"/>
      <w:r w:rsidRPr="003F04D4">
        <w:rPr>
          <w:rFonts w:ascii="Arial" w:hAnsi="Arial" w:cs="Arial"/>
          <w:sz w:val="24"/>
          <w:szCs w:val="24"/>
        </w:rPr>
        <w:t xml:space="preserve"> classifies each ARG in three ways: </w:t>
      </w:r>
      <w:r w:rsidRPr="003F04D4">
        <w:rPr>
          <w:rFonts w:ascii="Arial" w:hAnsi="Arial" w:cs="Arial"/>
          <w:b/>
          <w:bCs/>
          <w:sz w:val="24"/>
          <w:szCs w:val="24"/>
        </w:rPr>
        <w:t>gene family</w:t>
      </w:r>
      <w:r w:rsidRPr="003F04D4">
        <w:rPr>
          <w:rFonts w:ascii="Arial" w:hAnsi="Arial" w:cs="Arial"/>
          <w:sz w:val="24"/>
          <w:szCs w:val="24"/>
        </w:rPr>
        <w:t xml:space="preserve"> (this is still quite fine-grained, and so there are a large number of categories); </w:t>
      </w:r>
      <w:r w:rsidRPr="003F04D4">
        <w:rPr>
          <w:rFonts w:ascii="Arial" w:hAnsi="Arial" w:cs="Arial"/>
          <w:b/>
          <w:bCs/>
          <w:sz w:val="24"/>
          <w:szCs w:val="24"/>
        </w:rPr>
        <w:t>drug class</w:t>
      </w:r>
      <w:r w:rsidRPr="003F04D4">
        <w:rPr>
          <w:rFonts w:ascii="Arial" w:hAnsi="Arial" w:cs="Arial"/>
          <w:sz w:val="24"/>
          <w:szCs w:val="24"/>
        </w:rPr>
        <w:t xml:space="preserve">; and </w:t>
      </w:r>
      <w:r w:rsidRPr="003F04D4">
        <w:rPr>
          <w:rFonts w:ascii="Arial" w:hAnsi="Arial" w:cs="Arial"/>
          <w:b/>
          <w:bCs/>
          <w:sz w:val="24"/>
          <w:szCs w:val="24"/>
        </w:rPr>
        <w:t>resistance mechanism</w:t>
      </w:r>
      <w:r w:rsidRPr="003F04D4">
        <w:rPr>
          <w:rFonts w:ascii="Arial" w:hAnsi="Arial" w:cs="Arial"/>
          <w:sz w:val="24"/>
          <w:szCs w:val="24"/>
        </w:rPr>
        <w:t>. The latter two classifications apply one or more terms to each ARG (often many in the case of resistance mechanism), which presents difficulties for reporting frequencies of each category (some ARGs will contribute to two or more, and so overall totals are not strictly additive).</w:t>
      </w:r>
    </w:p>
    <w:p w14:paraId="402796FC" w14:textId="77777777" w:rsidR="00113EB7" w:rsidRPr="003F04D4" w:rsidRDefault="00113EB7" w:rsidP="00413443">
      <w:pPr>
        <w:spacing w:line="360" w:lineRule="auto"/>
        <w:rPr>
          <w:rFonts w:ascii="Arial" w:hAnsi="Arial" w:cs="Arial"/>
          <w:sz w:val="24"/>
          <w:szCs w:val="24"/>
          <w:highlight w:val="yellow"/>
        </w:rPr>
      </w:pPr>
      <w:proofErr w:type="spellStart"/>
      <w:r w:rsidRPr="003F04D4">
        <w:rPr>
          <w:rFonts w:ascii="Arial" w:hAnsi="Arial" w:cs="Arial"/>
          <w:sz w:val="24"/>
          <w:szCs w:val="24"/>
        </w:rPr>
        <w:t>DeepARG's</w:t>
      </w:r>
      <w:proofErr w:type="spellEnd"/>
      <w:r w:rsidRPr="003F04D4">
        <w:rPr>
          <w:rFonts w:ascii="Arial" w:hAnsi="Arial" w:cs="Arial"/>
          <w:sz w:val="24"/>
          <w:szCs w:val="24"/>
        </w:rPr>
        <w:t xml:space="preserve"> classification ("</w:t>
      </w:r>
      <w:proofErr w:type="spellStart"/>
      <w:r w:rsidRPr="003F04D4">
        <w:rPr>
          <w:rFonts w:ascii="Arial" w:hAnsi="Arial" w:cs="Arial"/>
          <w:b/>
          <w:bCs/>
          <w:sz w:val="24"/>
          <w:szCs w:val="24"/>
        </w:rPr>
        <w:t>DeepARG</w:t>
      </w:r>
      <w:proofErr w:type="spellEnd"/>
      <w:r w:rsidRPr="003F04D4">
        <w:rPr>
          <w:rFonts w:ascii="Arial" w:hAnsi="Arial" w:cs="Arial"/>
          <w:b/>
          <w:bCs/>
          <w:sz w:val="24"/>
          <w:szCs w:val="24"/>
        </w:rPr>
        <w:t xml:space="preserve"> class</w:t>
      </w:r>
      <w:r w:rsidRPr="003F04D4">
        <w:rPr>
          <w:rFonts w:ascii="Arial" w:hAnsi="Arial" w:cs="Arial"/>
          <w:sz w:val="24"/>
          <w:szCs w:val="24"/>
        </w:rPr>
        <w:t xml:space="preserve">") is simpler and has relatively few terms. We also identified what may be inconsistencies in the </w:t>
      </w:r>
      <w:proofErr w:type="gramStart"/>
      <w:r w:rsidRPr="003F04D4">
        <w:rPr>
          <w:rFonts w:ascii="Arial" w:hAnsi="Arial" w:cs="Arial"/>
          <w:sz w:val="24"/>
          <w:szCs w:val="24"/>
        </w:rPr>
        <w:t>classification, since</w:t>
      </w:r>
      <w:proofErr w:type="gramEnd"/>
      <w:r w:rsidRPr="003F04D4">
        <w:rPr>
          <w:rFonts w:ascii="Arial" w:hAnsi="Arial" w:cs="Arial"/>
          <w:sz w:val="24"/>
          <w:szCs w:val="24"/>
        </w:rPr>
        <w:t xml:space="preserve"> some gene names (for which there are multiple reference sequences) are not always placed in the same class. </w:t>
      </w:r>
    </w:p>
    <w:p w14:paraId="025799E0" w14:textId="6982D933" w:rsidR="00113EB7" w:rsidRPr="003F04D4" w:rsidRDefault="00113EB7" w:rsidP="00413443">
      <w:pPr>
        <w:spacing w:line="360" w:lineRule="auto"/>
        <w:rPr>
          <w:rFonts w:ascii="Arial" w:hAnsi="Arial" w:cs="Arial"/>
          <w:sz w:val="24"/>
          <w:szCs w:val="24"/>
        </w:rPr>
      </w:pPr>
      <w:r w:rsidRPr="003F04D4">
        <w:rPr>
          <w:rFonts w:ascii="Arial" w:hAnsi="Arial" w:cs="Arial"/>
          <w:sz w:val="24"/>
          <w:szCs w:val="24"/>
        </w:rPr>
        <w:lastRenderedPageBreak/>
        <w:t>In summary, we consider the DeepARG classification to be less systematic than the ARO used by RGI/CARD. We therefore used the ARO-based RGI results as the classification in this study.</w:t>
      </w:r>
    </w:p>
    <w:p w14:paraId="75B6CD56" w14:textId="77777777" w:rsidR="00113EB7" w:rsidRPr="003F04D4" w:rsidRDefault="00113EB7" w:rsidP="00413443">
      <w:pPr>
        <w:pStyle w:val="Heading3"/>
        <w:spacing w:line="360" w:lineRule="auto"/>
      </w:pPr>
      <w:r w:rsidRPr="003F04D4">
        <w:t>Names of ARGs</w:t>
      </w:r>
    </w:p>
    <w:p w14:paraId="00F04779" w14:textId="77777777" w:rsidR="00113EB7" w:rsidRPr="003F04D4" w:rsidRDefault="00113EB7" w:rsidP="00413443">
      <w:pPr>
        <w:spacing w:line="360" w:lineRule="auto"/>
        <w:rPr>
          <w:rFonts w:ascii="Arial" w:hAnsi="Arial" w:cs="Arial"/>
          <w:sz w:val="24"/>
          <w:szCs w:val="24"/>
        </w:rPr>
      </w:pPr>
      <w:r w:rsidRPr="003F04D4">
        <w:rPr>
          <w:rFonts w:ascii="Arial" w:hAnsi="Arial" w:cs="Arial"/>
          <w:sz w:val="24"/>
          <w:szCs w:val="24"/>
        </w:rPr>
        <w:t xml:space="preserve">We have also found cases of identical sequences in the two databases which have been assigned a different ARG name in each. Some of these differences may be issues of nomenclature. </w:t>
      </w:r>
    </w:p>
    <w:p w14:paraId="1E5F2372" w14:textId="4D77F986" w:rsidR="004C34B3" w:rsidRPr="003F04D4" w:rsidRDefault="00113EB7" w:rsidP="00413443">
      <w:pPr>
        <w:spacing w:line="360" w:lineRule="auto"/>
        <w:rPr>
          <w:rFonts w:ascii="Arial" w:hAnsi="Arial" w:cs="Arial"/>
          <w:sz w:val="24"/>
          <w:szCs w:val="24"/>
        </w:rPr>
      </w:pPr>
      <w:r w:rsidRPr="003F04D4">
        <w:rPr>
          <w:rFonts w:ascii="Arial" w:hAnsi="Arial" w:cs="Arial"/>
          <w:sz w:val="24"/>
          <w:szCs w:val="24"/>
        </w:rPr>
        <w:t xml:space="preserve">Attempting to harmonise ARG names between the two is beyond the scope of this </w:t>
      </w:r>
      <w:proofErr w:type="gramStart"/>
      <w:r w:rsidRPr="003F04D4">
        <w:rPr>
          <w:rFonts w:ascii="Arial" w:hAnsi="Arial" w:cs="Arial"/>
          <w:sz w:val="24"/>
          <w:szCs w:val="24"/>
        </w:rPr>
        <w:t>project, and</w:t>
      </w:r>
      <w:proofErr w:type="gramEnd"/>
      <w:r w:rsidRPr="003F04D4">
        <w:rPr>
          <w:rFonts w:ascii="Arial" w:hAnsi="Arial" w:cs="Arial"/>
          <w:sz w:val="24"/>
          <w:szCs w:val="24"/>
        </w:rPr>
        <w:t xml:space="preserve"> would in effect require curation of ARG sequences. We have therefore used the reference data as-is.</w:t>
      </w:r>
    </w:p>
    <w:sectPr w:rsidR="004C34B3" w:rsidRPr="003F04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0686B"/>
    <w:multiLevelType w:val="hybridMultilevel"/>
    <w:tmpl w:val="423A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7C5B25"/>
    <w:multiLevelType w:val="hybridMultilevel"/>
    <w:tmpl w:val="CBE0F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83"/>
    <w:rsid w:val="00083C8E"/>
    <w:rsid w:val="00113EB7"/>
    <w:rsid w:val="00176964"/>
    <w:rsid w:val="0019022D"/>
    <w:rsid w:val="0029473D"/>
    <w:rsid w:val="003F04D4"/>
    <w:rsid w:val="00413443"/>
    <w:rsid w:val="004C34B3"/>
    <w:rsid w:val="004C4ECF"/>
    <w:rsid w:val="00730303"/>
    <w:rsid w:val="007643C3"/>
    <w:rsid w:val="0094214F"/>
    <w:rsid w:val="00A35E0C"/>
    <w:rsid w:val="00C1594A"/>
    <w:rsid w:val="00C3362F"/>
    <w:rsid w:val="00D016C7"/>
    <w:rsid w:val="00D74033"/>
    <w:rsid w:val="00D775DF"/>
    <w:rsid w:val="00D83601"/>
    <w:rsid w:val="00DA646E"/>
    <w:rsid w:val="00DB6783"/>
    <w:rsid w:val="00DD59EB"/>
    <w:rsid w:val="00E556D0"/>
    <w:rsid w:val="00EE6769"/>
    <w:rsid w:val="00F2184F"/>
    <w:rsid w:val="00FA122E"/>
    <w:rsid w:val="00FB724F"/>
    <w:rsid w:val="00FE0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4D5A"/>
  <w15:chartTrackingRefBased/>
  <w15:docId w15:val="{2FDC9ED0-0FB6-4ACD-AE0D-A15AE6A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6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04D4"/>
    <w:pPr>
      <w:keepNext/>
      <w:keepLines/>
      <w:spacing w:before="40" w:after="0"/>
      <w:outlineLvl w:val="1"/>
    </w:pPr>
    <w:rPr>
      <w:rFonts w:ascii="Arial" w:eastAsiaTheme="majorEastAsia" w:hAnsi="Arial"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7643C3"/>
    <w:pPr>
      <w:keepNext/>
      <w:keepLines/>
      <w:spacing w:before="40" w:after="0"/>
      <w:outlineLvl w:val="2"/>
    </w:pPr>
    <w:rPr>
      <w:rFonts w:ascii="Arial" w:eastAsiaTheme="majorEastAsia" w:hAnsi="Arial" w:cstheme="majorBidi"/>
      <w:color w:val="1F3763" w:themeColor="accent1" w:themeShade="7F"/>
      <w:sz w:val="28"/>
      <w:szCs w:val="24"/>
    </w:rPr>
  </w:style>
  <w:style w:type="paragraph" w:styleId="Heading4">
    <w:name w:val="heading 4"/>
    <w:basedOn w:val="Normal"/>
    <w:next w:val="Normal"/>
    <w:link w:val="Heading4Char"/>
    <w:uiPriority w:val="9"/>
    <w:semiHidden/>
    <w:unhideWhenUsed/>
    <w:qFormat/>
    <w:rsid w:val="00113EB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13EB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83"/>
    <w:rPr>
      <w:rFonts w:ascii="Segoe UI" w:hAnsi="Segoe UI" w:cs="Segoe UI"/>
      <w:sz w:val="18"/>
      <w:szCs w:val="18"/>
    </w:rPr>
  </w:style>
  <w:style w:type="character" w:customStyle="1" w:styleId="Heading1Char">
    <w:name w:val="Heading 1 Char"/>
    <w:basedOn w:val="DefaultParagraphFont"/>
    <w:link w:val="Heading1"/>
    <w:uiPriority w:val="9"/>
    <w:rsid w:val="00C336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04D4"/>
    <w:rPr>
      <w:rFonts w:ascii="Arial" w:eastAsiaTheme="majorEastAsia" w:hAnsi="Arial" w:cstheme="majorBidi"/>
      <w:color w:val="2F5496" w:themeColor="accent1" w:themeShade="BF"/>
      <w:sz w:val="32"/>
      <w:szCs w:val="26"/>
    </w:rPr>
  </w:style>
  <w:style w:type="character" w:styleId="CommentReference">
    <w:name w:val="annotation reference"/>
    <w:uiPriority w:val="99"/>
    <w:unhideWhenUsed/>
    <w:rsid w:val="00FA122E"/>
    <w:rPr>
      <w:sz w:val="16"/>
      <w:szCs w:val="16"/>
    </w:rPr>
  </w:style>
  <w:style w:type="paragraph" w:styleId="CommentText">
    <w:name w:val="annotation text"/>
    <w:basedOn w:val="Normal"/>
    <w:link w:val="CommentTextChar"/>
    <w:uiPriority w:val="99"/>
    <w:unhideWhenUsed/>
    <w:rsid w:val="00FA122E"/>
    <w:pPr>
      <w:spacing w:after="120" w:line="240" w:lineRule="auto"/>
    </w:pPr>
    <w:rPr>
      <w:rFonts w:ascii="Arial" w:eastAsia="Calibri" w:hAnsi="Arial" w:cs="Times New Roman"/>
      <w:sz w:val="20"/>
      <w:szCs w:val="20"/>
    </w:rPr>
  </w:style>
  <w:style w:type="character" w:customStyle="1" w:styleId="CommentTextChar">
    <w:name w:val="Comment Text Char"/>
    <w:basedOn w:val="DefaultParagraphFont"/>
    <w:link w:val="CommentText"/>
    <w:uiPriority w:val="99"/>
    <w:rsid w:val="00FA122E"/>
    <w:rPr>
      <w:rFonts w:ascii="Arial" w:eastAsia="Calibri" w:hAnsi="Arial" w:cs="Times New Roman"/>
      <w:sz w:val="20"/>
      <w:szCs w:val="20"/>
    </w:rPr>
  </w:style>
  <w:style w:type="character" w:customStyle="1" w:styleId="Heading3Char">
    <w:name w:val="Heading 3 Char"/>
    <w:basedOn w:val="DefaultParagraphFont"/>
    <w:link w:val="Heading3"/>
    <w:uiPriority w:val="9"/>
    <w:rsid w:val="007643C3"/>
    <w:rPr>
      <w:rFonts w:ascii="Arial" w:eastAsiaTheme="majorEastAsia" w:hAnsi="Arial" w:cstheme="majorBidi"/>
      <w:color w:val="1F3763" w:themeColor="accent1" w:themeShade="7F"/>
      <w:sz w:val="28"/>
      <w:szCs w:val="24"/>
    </w:rPr>
  </w:style>
  <w:style w:type="paragraph" w:styleId="ListParagraph">
    <w:name w:val="List Paragraph"/>
    <w:basedOn w:val="Normal"/>
    <w:uiPriority w:val="34"/>
    <w:qFormat/>
    <w:rsid w:val="00FE0B4A"/>
    <w:pPr>
      <w:spacing w:after="120" w:line="240" w:lineRule="auto"/>
      <w:ind w:left="720"/>
    </w:pPr>
    <w:rPr>
      <w:rFonts w:ascii="Arial" w:eastAsia="Calibri" w:hAnsi="Arial" w:cs="Times New Roman"/>
      <w:sz w:val="24"/>
    </w:rPr>
  </w:style>
  <w:style w:type="character" w:customStyle="1" w:styleId="Heading4Char">
    <w:name w:val="Heading 4 Char"/>
    <w:basedOn w:val="DefaultParagraphFont"/>
    <w:link w:val="Heading4"/>
    <w:uiPriority w:val="9"/>
    <w:semiHidden/>
    <w:rsid w:val="00113E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13EB7"/>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11</cp:revision>
  <dcterms:created xsi:type="dcterms:W3CDTF">2021-04-29T17:06:00Z</dcterms:created>
  <dcterms:modified xsi:type="dcterms:W3CDTF">2021-11-16T09:19:00Z</dcterms:modified>
</cp:coreProperties>
</file>